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III 134</w:t>
      </w:r>
    </w:p>
    <w:p>
      <w:r>
        <w:t>Bundesgericht (BGE), 1989-09-14, FR</w:t>
      </w:r>
    </w:p>
    <w:p>
      <w:r>
        <w:rPr>
          <w:b/>
        </w:rPr>
        <w:t xml:space="preserve">Quelle: </w:t>
      </w:r>
      <w:r>
        <w:t>https://mcp.opencaselaw.ch/entscheid/bge_115 III 134</w:t>
      </w:r>
    </w:p>
    <w:p>
      <w:r>
        <w:t>FR: ATF 115 III 134</w:t>
      </w:r>
    </w:p>
    <w:p>
      <w:r>
        <w:t>IT: DTF 115 III 134</w:t>
      </w:r>
    </w:p>
    <w:p>
      <w:pPr>
        <w:pStyle w:val="Heading2"/>
      </w:pPr>
      <w:r>
        <w:t>Regeste</w:t>
      </w:r>
    </w:p>
    <w:p>
      <w:r>
        <w:t>Regeste Arrest. Soweit der Arrestgläubiger zur Deckung der gleichen Forderung gleichzeitig mehrere Betreibungen gegen seine Solidarschuldner eingeleitet hat, kann er in allen gleichzeitig eröffneten Arrestverfahren die Verarrestierung der gleichen Vermögenswerte verlangen (E. 5; Präzisierung der Rechtsprechung).</w:t>
      </w:r>
    </w:p>
    <w:p>
      <w:pPr>
        <w:pStyle w:val="Heading2"/>
      </w:pPr>
      <w:r>
        <w:t>Erwägungen</w:t>
      </w:r>
    </w:p>
    <w:p>
      <w:r>
        <w:rPr>
          <w:b/>
        </w:rPr>
        <w:t>E. 5</w:t>
      </w:r>
    </w:p>
    <w:p>
      <w:r>
        <w:t>Il n'y a pas lieu d'examiner en l'espèce si l'autorité cantonale a correctement interprété la décision de l'Office des BGE 115 III 134 S. 137 poursuites du 20 juin 1988 et si cet office a outrepassé ses compétences en refusant de maintenir les séquestres Nos 616/87 et 47/88. L'autorité cantonale a en effet décidé de lever les quatre séquestres litigieux pour un motif que l'Office des poursuites n'a pas retenu. L'autorité cantonale de surveillance a vu dans les procédés de la recourante, qui a fait mettre sous main de justice à deux reprises des biens qu'elle attribue à ses deux débiteurs, un comportement inconciliable avec les règles de l'exécution forcée. Selon la jurisprudence, les indications contradictoires du créancier quant à la titularité des biens à séquestrer entraînent la nullité de l'exécution du séquestre ( ATF 107 III 155 /156). Les mêmes biens ne peuvent appartenir en même temps à deux débiteurs (hormis le cas de propriété en main commune) ni être l'objet de deux procédures distinctes d'exécution forcée pour le recouvrement de la même créance. Se fondant sur un arrêt de la Chambre de céans du 23 avril 1987 dans la cause Galadari, partiellement publié dans la SJ 1987 p. 453, la recourante objecte que, dans la mesure où le créancier est dans l'incertitude sur la titularité des biens dont il demande le séquestre par deux procédures parallèles contre ses débiteurs solidaires, il est en droit d'affirmer conjointement la propriété de l'un et l'autre de ses débiteurs, la question ne pouvant être tranchée que par l'action en revendication de l'un ou l'autre des poursuivis dans le cadre des art. 106 ss LP . En agissant ainsi, le créancier ne se place nullement dans une situation comportant une contradiction insoluble, comme c'était le cas dans l' ATF 107 III 101 ss. Cette décision du Tribunal fédéral, que l'autorité cantonale a également mentionnée, renvoie elle-même à une jurisprudence antérieure, constatée dans les arrêts non publiés Le Roux du 25 janvier 1983 et Mouawad du 1er février 1983. Il faut s'en tenir au principe posé dans l' ATF 107 III 155 /156: le créancier séquestrant ne peut désigner à la fois plusieurs débiteurs poursuivis pour la même créance comme propriétaires des mêmes biens. Toutefois, si le créancier a introduit simultanément des poursuites contre ses débiteurs solidaires pour le recouvrement d'une même créance, montrant par là qu'il hésite à attribuer à l'un ou l'autre de ses débiteurs la titularité des biens à séquestrer, il lui est loisible de requérir la mise sous main de justice des mêmes biens dans toutes les procédures de séquestre ouvertes parallèlement. Les séquestres ainsi pratiqués ne conduisent à aucune impossibilité de continuer la poursuite, BGE 115 III 134 S. 138 puisque aussi bien celle-ci peut conduire à la réalisation des biens séquestrés, qu'ils appartiennent à l'un des débiteurs solidaires ou à l'autre, dans la mesure où tous sont poursuivis simultanément (cf. arrêt non publié Le Roux du 25 janvier 1983). Il convient dès lors de préciser l' ATF 107 III 155 /156.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